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BE" w:rsidRPr="00A43DBD" w:rsidRDefault="008779BE" w:rsidP="0009281D">
      <w:pPr>
        <w:pStyle w:val="Nagwek1"/>
        <w:jc w:val="both"/>
        <w:rPr>
          <w:rFonts w:asciiTheme="majorHAnsi" w:hAnsiTheme="majorHAnsi"/>
        </w:rPr>
      </w:pPr>
    </w:p>
    <w:p w:rsidR="00475A73" w:rsidRPr="00A43DBD" w:rsidRDefault="00475A73" w:rsidP="00FC65A6">
      <w:pPr>
        <w:pStyle w:val="Nagwek1"/>
        <w:rPr>
          <w:rFonts w:asciiTheme="majorHAnsi" w:hAnsiTheme="majorHAnsi"/>
          <w:color w:val="365F91" w:themeColor="accent1" w:themeShade="BF"/>
        </w:rPr>
      </w:pPr>
      <w:r w:rsidRPr="00A43DBD">
        <w:rPr>
          <w:rFonts w:asciiTheme="majorHAnsi" w:hAnsiTheme="majorHAnsi"/>
          <w:color w:val="365F91" w:themeColor="accent1" w:themeShade="BF"/>
        </w:rPr>
        <w:t>Tabe</w:t>
      </w:r>
      <w:r w:rsidR="006D2789" w:rsidRPr="00A43DBD">
        <w:rPr>
          <w:rFonts w:asciiTheme="majorHAnsi" w:hAnsiTheme="majorHAnsi"/>
          <w:color w:val="365F91" w:themeColor="accent1" w:themeShade="BF"/>
        </w:rPr>
        <w:t>le baz danych – iloczyn kartezja</w:t>
      </w:r>
      <w:r w:rsidRPr="00A43DBD">
        <w:rPr>
          <w:rFonts w:asciiTheme="majorHAnsi" w:hAnsiTheme="majorHAnsi"/>
          <w:color w:val="365F91" w:themeColor="accent1" w:themeShade="BF"/>
        </w:rPr>
        <w:t>ński</w:t>
      </w:r>
    </w:p>
    <w:p w:rsidR="00475A73" w:rsidRPr="00A43DBD" w:rsidRDefault="00475A73" w:rsidP="0009281D">
      <w:pPr>
        <w:pStyle w:val="NormalnyWeb"/>
        <w:jc w:val="both"/>
        <w:rPr>
          <w:rFonts w:asciiTheme="majorHAnsi" w:hAnsiTheme="majorHAnsi"/>
        </w:rPr>
      </w:pPr>
      <w:r w:rsidRPr="00A43DBD">
        <w:rPr>
          <w:rStyle w:val="Pogrubienie"/>
          <w:rFonts w:asciiTheme="majorHAnsi" w:hAnsiTheme="majorHAnsi"/>
        </w:rPr>
        <w:t>Relacja – tabela</w:t>
      </w:r>
    </w:p>
    <w:p w:rsidR="00475A73" w:rsidRPr="00A43DBD" w:rsidRDefault="00475A73" w:rsidP="0009281D">
      <w:pPr>
        <w:pStyle w:val="NormalnyWeb"/>
        <w:jc w:val="both"/>
        <w:rPr>
          <w:rFonts w:asciiTheme="majorHAnsi" w:hAnsiTheme="majorHAnsi"/>
        </w:rPr>
      </w:pPr>
      <w:r w:rsidRPr="00A43DBD">
        <w:rPr>
          <w:rFonts w:asciiTheme="majorHAnsi" w:hAnsiTheme="majorHAnsi"/>
        </w:rPr>
        <w:t>Aby wyjaśnić pojęcie relacji, warto odświeżyć kilka isto</w:t>
      </w:r>
      <w:r w:rsidR="00773790">
        <w:rPr>
          <w:rFonts w:asciiTheme="majorHAnsi" w:hAnsiTheme="majorHAnsi"/>
        </w:rPr>
        <w:t>tnych informacji z matematyki i </w:t>
      </w:r>
      <w:r w:rsidRPr="00A43DBD">
        <w:rPr>
          <w:rFonts w:asciiTheme="majorHAnsi" w:hAnsiTheme="majorHAnsi"/>
        </w:rPr>
        <w:t xml:space="preserve">teorii zbiorów. </w:t>
      </w:r>
      <w:r w:rsidRPr="00A43DBD">
        <w:rPr>
          <w:rStyle w:val="Pogrubienie"/>
          <w:rFonts w:asciiTheme="majorHAnsi" w:hAnsiTheme="majorHAnsi"/>
        </w:rPr>
        <w:t>Iloczyn kartezjański</w:t>
      </w:r>
      <w:r w:rsidRPr="00A43DBD">
        <w:rPr>
          <w:rFonts w:asciiTheme="majorHAnsi" w:hAnsiTheme="majorHAnsi"/>
        </w:rPr>
        <w:t xml:space="preserve"> zawdzięcza swoją nazwę kartezjańskiemu układowi współrzędnych.</w:t>
      </w:r>
    </w:p>
    <w:p w:rsidR="00475A73" w:rsidRPr="00A43DBD" w:rsidRDefault="00475A73" w:rsidP="0009281D">
      <w:pPr>
        <w:pStyle w:val="NormalnyWeb"/>
        <w:jc w:val="both"/>
        <w:rPr>
          <w:rFonts w:asciiTheme="majorHAnsi" w:hAnsiTheme="majorHAnsi"/>
        </w:rPr>
      </w:pPr>
      <w:r w:rsidRPr="00A43DBD">
        <w:rPr>
          <w:rFonts w:asciiTheme="majorHAnsi" w:hAnsiTheme="majorHAnsi"/>
        </w:rPr>
        <w:t>Jest to prostoliniowy układ współrzędnych o parach prostopadłych osi.</w:t>
      </w:r>
    </w:p>
    <w:p w:rsidR="00475A73" w:rsidRPr="00A43DBD" w:rsidRDefault="00475A73" w:rsidP="0009281D">
      <w:pPr>
        <w:pStyle w:val="NormalnyWeb"/>
        <w:jc w:val="both"/>
        <w:rPr>
          <w:rFonts w:asciiTheme="majorHAnsi" w:hAnsiTheme="majorHAnsi"/>
        </w:rPr>
      </w:pPr>
      <w:r w:rsidRPr="00A43DBD">
        <w:rPr>
          <w:rFonts w:asciiTheme="majorHAnsi" w:hAnsiTheme="majorHAnsi"/>
        </w:rPr>
        <w:t>Nazwa pojęcia pochodzi od łacińskiego nazwiska francuskiego matematyka i filozofa Kartezjusza (</w:t>
      </w:r>
      <w:r w:rsidRPr="00A43DBD">
        <w:rPr>
          <w:rStyle w:val="Uwydatnienie"/>
          <w:rFonts w:asciiTheme="majorHAnsi" w:hAnsiTheme="majorHAnsi"/>
        </w:rPr>
        <w:t>René Descartes</w:t>
      </w:r>
      <w:r w:rsidRPr="00A43DBD">
        <w:rPr>
          <w:rFonts w:asciiTheme="majorHAnsi" w:hAnsiTheme="majorHAnsi"/>
        </w:rPr>
        <w:t>),</w:t>
      </w:r>
      <w:r w:rsidR="000C46CB" w:rsidRPr="00A43DBD">
        <w:rPr>
          <w:rFonts w:asciiTheme="majorHAnsi" w:hAnsiTheme="majorHAnsi"/>
        </w:rPr>
        <w:t xml:space="preserve"> </w:t>
      </w:r>
      <w:r w:rsidRPr="00A43DBD">
        <w:rPr>
          <w:rFonts w:asciiTheme="majorHAnsi" w:hAnsiTheme="majorHAnsi"/>
        </w:rPr>
        <w:t xml:space="preserve">który opisał tę ideę w 1637 r. w traktacie La Geometrie. </w:t>
      </w:r>
      <w:r w:rsidRPr="00A43DBD">
        <w:rPr>
          <w:rStyle w:val="Pogrubienie"/>
          <w:rFonts w:asciiTheme="majorHAnsi" w:hAnsiTheme="majorHAnsi"/>
        </w:rPr>
        <w:t>Iloczynem kartezjańskim</w:t>
      </w:r>
      <w:r w:rsidRPr="00A43DBD">
        <w:rPr>
          <w:rFonts w:asciiTheme="majorHAnsi" w:hAnsiTheme="majorHAnsi"/>
        </w:rPr>
        <w:t xml:space="preserve"> prostej A i B będzie zbiór punktów płaszczyzny zawartej między nimi (każdy punkt należący do tej płaszczyzny). Idąc tym tokiem myślenia, jeśli będziemy mieć dwa zbiory A i B, to iloczynem kartezjańskim tych zbiorów będzie taki zbiór C, w którym każdy element A będzie połączony z każdym elementem B. Prześledźmy tą sytuację na przykładzie.</w:t>
      </w:r>
    </w:p>
    <w:p w:rsidR="00475A73" w:rsidRPr="00A43DBD" w:rsidRDefault="00475A73" w:rsidP="0009281D">
      <w:pPr>
        <w:pStyle w:val="NormalnyWeb"/>
        <w:jc w:val="both"/>
        <w:rPr>
          <w:rFonts w:asciiTheme="majorHAnsi" w:hAnsiTheme="majorHAnsi"/>
        </w:rPr>
      </w:pPr>
      <w:r w:rsidRPr="00A43DBD">
        <w:rPr>
          <w:rFonts w:asciiTheme="majorHAnsi" w:hAnsiTheme="majorHAnsi"/>
          <w:noProof/>
          <w:color w:val="0000FF"/>
        </w:rPr>
        <w:drawing>
          <wp:inline distT="0" distB="0" distL="0" distR="0" wp14:anchorId="1480C40D" wp14:editId="2AEDF267">
            <wp:extent cx="3855720" cy="2178373"/>
            <wp:effectExtent l="0" t="0" r="0" b="0"/>
            <wp:docPr id="3" name="Obraz 3" descr="http://zstzbaszynek.pl/wp-content/uploads/2013/10/kartezja%C5%84sk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tzbaszynek.pl/wp-content/uploads/2013/10/kartezja%C5%84sk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89" cy="21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73" w:rsidRPr="00A43DBD" w:rsidRDefault="00475A73" w:rsidP="0009281D">
      <w:pPr>
        <w:pStyle w:val="NormalnyWeb"/>
        <w:jc w:val="both"/>
        <w:rPr>
          <w:rFonts w:asciiTheme="majorHAnsi" w:hAnsiTheme="majorHAnsi"/>
        </w:rPr>
      </w:pPr>
      <w:r w:rsidRPr="00A43DBD">
        <w:rPr>
          <w:rFonts w:asciiTheme="majorHAnsi" w:hAnsiTheme="majorHAnsi"/>
        </w:rPr>
        <w:t xml:space="preserve">Zbiór </w:t>
      </w:r>
      <w:r w:rsidRPr="00A43DBD">
        <w:rPr>
          <w:rStyle w:val="Pogrubienie"/>
          <w:rFonts w:asciiTheme="majorHAnsi" w:hAnsiTheme="majorHAnsi"/>
        </w:rPr>
        <w:t>A</w:t>
      </w:r>
      <w:r w:rsidRPr="00A43DBD">
        <w:rPr>
          <w:rFonts w:asciiTheme="majorHAnsi" w:hAnsiTheme="majorHAnsi"/>
        </w:rPr>
        <w:t xml:space="preserve"> przechowujący cyfry                                              Zbiór </w:t>
      </w:r>
      <w:r w:rsidRPr="00A43DBD">
        <w:rPr>
          <w:rStyle w:val="Pogrubienie"/>
          <w:rFonts w:asciiTheme="majorHAnsi" w:hAnsiTheme="majorHAnsi"/>
        </w:rPr>
        <w:t>B </w:t>
      </w:r>
      <w:r w:rsidRPr="00A43DBD">
        <w:rPr>
          <w:rFonts w:asciiTheme="majorHAnsi" w:hAnsiTheme="majorHAnsi"/>
        </w:rPr>
        <w:t>przechowujący imiona</w:t>
      </w:r>
    </w:p>
    <w:p w:rsidR="00475A73" w:rsidRPr="00A43DBD" w:rsidRDefault="00475A73" w:rsidP="0009281D">
      <w:pPr>
        <w:pStyle w:val="NormalnyWeb"/>
        <w:jc w:val="both"/>
        <w:rPr>
          <w:rFonts w:asciiTheme="majorHAnsi" w:hAnsiTheme="majorHAnsi"/>
        </w:rPr>
      </w:pPr>
      <w:r w:rsidRPr="00A43DBD">
        <w:rPr>
          <w:rFonts w:asciiTheme="majorHAnsi" w:hAnsiTheme="majorHAnsi"/>
          <w:noProof/>
          <w:color w:val="0000FF"/>
        </w:rPr>
        <w:drawing>
          <wp:inline distT="0" distB="0" distL="0" distR="0" wp14:anchorId="05791E6E" wp14:editId="1291209B">
            <wp:extent cx="3878580" cy="1958879"/>
            <wp:effectExtent l="0" t="0" r="7620" b="3810"/>
            <wp:docPr id="2" name="Obraz 2" descr="http://zstzbaszynek.pl/wp-content/uploads/2013/10/zbior-A-i-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tzbaszynek.pl/wp-content/uploads/2013/10/zbior-A-i-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95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73" w:rsidRPr="00A43DBD" w:rsidRDefault="00475A73" w:rsidP="0009281D">
      <w:pPr>
        <w:pStyle w:val="NormalnyWeb"/>
        <w:jc w:val="both"/>
        <w:rPr>
          <w:rFonts w:asciiTheme="majorHAnsi" w:hAnsiTheme="majorHAnsi"/>
          <w:i/>
          <w:color w:val="FF0000"/>
        </w:rPr>
      </w:pPr>
      <w:r w:rsidRPr="00A43DBD">
        <w:rPr>
          <w:rStyle w:val="Pogrubienie"/>
          <w:rFonts w:asciiTheme="majorHAnsi" w:hAnsiTheme="majorHAnsi"/>
          <w:i/>
          <w:color w:val="FF0000"/>
        </w:rPr>
        <w:t>Iloczynem kartezjańskim </w:t>
      </w:r>
      <w:r w:rsidRPr="00A43DBD">
        <w:rPr>
          <w:rFonts w:asciiTheme="majorHAnsi" w:hAnsiTheme="majorHAnsi"/>
          <w:i/>
          <w:color w:val="FF0000"/>
        </w:rPr>
        <w:t>tych dwóch zbiorów będzie następujący zbiór </w:t>
      </w:r>
      <w:r w:rsidRPr="00A43DBD">
        <w:rPr>
          <w:rStyle w:val="Pogrubienie"/>
          <w:rFonts w:asciiTheme="majorHAnsi" w:hAnsiTheme="majorHAnsi"/>
          <w:i/>
          <w:color w:val="FF0000"/>
        </w:rPr>
        <w:t>C, </w:t>
      </w:r>
      <w:r w:rsidRPr="00A43DBD">
        <w:rPr>
          <w:rFonts w:asciiTheme="majorHAnsi" w:hAnsiTheme="majorHAnsi"/>
          <w:i/>
          <w:color w:val="FF0000"/>
        </w:rPr>
        <w:t>w którym każdemu elementowi zbioru A, będzie odpowiadał element zbioru B:</w:t>
      </w:r>
    </w:p>
    <w:p w:rsidR="00475A73" w:rsidRPr="00A43DBD" w:rsidRDefault="00475A73" w:rsidP="0009281D">
      <w:pPr>
        <w:pStyle w:val="NormalnyWeb"/>
        <w:jc w:val="both"/>
        <w:rPr>
          <w:rFonts w:asciiTheme="majorHAnsi" w:hAnsiTheme="majorHAnsi"/>
        </w:rPr>
      </w:pPr>
      <w:r w:rsidRPr="00A43DBD">
        <w:rPr>
          <w:rFonts w:asciiTheme="majorHAnsi" w:hAnsiTheme="majorHAnsi"/>
          <w:noProof/>
          <w:color w:val="0000FF"/>
        </w:rPr>
        <w:lastRenderedPageBreak/>
        <w:drawing>
          <wp:inline distT="0" distB="0" distL="0" distR="0" wp14:anchorId="649C8816" wp14:editId="641DB385">
            <wp:extent cx="1630680" cy="2170616"/>
            <wp:effectExtent l="0" t="0" r="7620" b="1270"/>
            <wp:docPr id="1" name="Obraz 1" descr="http://zstzbaszynek.pl/wp-content/uploads/2013/10/zbior-C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tzbaszynek.pl/wp-content/uploads/2013/10/zbior-C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Teraz spróbujemy zdefiniować relację.</w:t>
      </w:r>
    </w:p>
    <w:p w:rsidR="000C46CB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Relacją </w:t>
      </w:r>
      <w:r w:rsidRPr="00A43DBD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nazywamy </w:t>
      </w:r>
      <w:r w:rsidRPr="00A43DB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podzbiory </w:t>
      </w:r>
      <w:r w:rsidRPr="00A43DBD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iloczynu kartezjańskiego.</w:t>
      </w:r>
    </w:p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br/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Niech podzbiorem dla naszego przykładu będą (1-Jacek, 2 – Ewa). Jeśli umieścimy  te elementy w tabeli, otrzymamy:</w:t>
      </w:r>
    </w:p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27CD500" wp14:editId="6A04391D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562735" cy="2080260"/>
            <wp:effectExtent l="0" t="0" r="0" b="0"/>
            <wp:wrapTight wrapText="bothSides">
              <wp:wrapPolygon edited="0">
                <wp:start x="0" y="0"/>
                <wp:lineTo x="0" y="21363"/>
                <wp:lineTo x="21328" y="21363"/>
                <wp:lineTo x="21328" y="0"/>
                <wp:lineTo x="0" y="0"/>
              </wp:wrapPolygon>
            </wp:wrapTight>
            <wp:docPr id="5" name="Obraz 5" descr="http://zstzbaszynek.pl/wp-content/uploads/2013/10/zbior-C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stzbaszynek.pl/wp-content/uploads/2013/10/zbior-C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tbl>
      <w:tblPr>
        <w:tblW w:w="17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64"/>
      </w:tblGrid>
      <w:tr w:rsidR="00475A73" w:rsidRPr="00A43DBD" w:rsidTr="000C46CB">
        <w:trPr>
          <w:trHeight w:val="228"/>
          <w:tblCellSpacing w:w="0" w:type="dxa"/>
        </w:trPr>
        <w:tc>
          <w:tcPr>
            <w:tcW w:w="876" w:type="dxa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Numery</w:t>
            </w:r>
          </w:p>
        </w:tc>
        <w:tc>
          <w:tcPr>
            <w:tcW w:w="864" w:type="dxa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Imiona</w:t>
            </w:r>
          </w:p>
        </w:tc>
      </w:tr>
      <w:tr w:rsidR="00475A73" w:rsidRPr="00A43DBD" w:rsidTr="000C46CB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Jacek</w:t>
            </w:r>
          </w:p>
        </w:tc>
      </w:tr>
      <w:tr w:rsidR="00475A73" w:rsidRPr="00A43DBD" w:rsidTr="000C46CB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Ewa</w:t>
            </w:r>
          </w:p>
        </w:tc>
      </w:tr>
      <w:tr w:rsidR="00475A73" w:rsidRPr="00A43DBD" w:rsidTr="000C46CB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Ewa</w:t>
            </w:r>
          </w:p>
        </w:tc>
      </w:tr>
      <w:tr w:rsidR="00475A73" w:rsidRPr="00A43DBD" w:rsidTr="000C46CB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Ewa</w:t>
            </w:r>
          </w:p>
        </w:tc>
      </w:tr>
      <w:tr w:rsidR="00475A73" w:rsidRPr="00A43DBD" w:rsidTr="000C46CB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Jacek</w:t>
            </w:r>
          </w:p>
        </w:tc>
      </w:tr>
      <w:tr w:rsidR="00475A73" w:rsidRPr="00A43DBD" w:rsidTr="000C46CB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5A73" w:rsidRPr="00A43DBD" w:rsidRDefault="00475A73" w:rsidP="0009281D">
            <w:pPr>
              <w:spacing w:after="0" w:line="228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Jacek</w:t>
            </w:r>
          </w:p>
        </w:tc>
      </w:tr>
    </w:tbl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Dlatego </w:t>
      </w:r>
      <w:r w:rsidRPr="00A43DBD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w relacyjnych bazach danych </w:t>
      </w:r>
      <w:r w:rsidRPr="00A43DB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relacją </w:t>
      </w:r>
      <w:r w:rsidRPr="00A43DBD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nazywać będziemy </w:t>
      </w:r>
      <w:r w:rsidRPr="00A43DB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tabele </w:t>
      </w:r>
      <w:r w:rsidRPr="00A43DBD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bazy danych, ponieważ zawartość tabeli ulega ciągłym zmianom. Kolumny – atrybuty mogą przechowywać wartości określonych typów, jednak wartości te mogą być modyfikowane.</w:t>
      </w:r>
      <w:r w:rsidR="00A43DBD"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Podobnie jest w 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naszym przykładzie. </w:t>
      </w:r>
      <w:r w:rsidRPr="00A43DB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Relacja 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(tabela) przechowuje dane, które zwykle ulegają pewnym zmianom. Zawartość tabeli, jeśli nie jest modyfikowana, może być rozszerzana o kolejne </w:t>
      </w:r>
      <w:r w:rsidRPr="00A43DB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wiersze 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(rew). Operacje, jeśli nie zachodzą w danej chwili, mogą zajść w przyszłości, dlatego zawartość relacji możemy traktować jako </w:t>
      </w:r>
      <w:r w:rsidRPr="00A43DB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zmienną. 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Teoretyk baz danych </w:t>
      </w:r>
      <w:r w:rsidRPr="00A43D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Chris Date 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zaproponował określanie tabel w relacyjnych bazach danych mianem </w:t>
      </w:r>
      <w:r w:rsidRPr="00A43D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relvar. 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Jest to skrót od </w:t>
      </w:r>
      <w:r w:rsidRPr="00A43D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relation 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(relacja – tabela) oraz </w:t>
      </w:r>
      <w:r w:rsidRPr="00A43D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 xml:space="preserve">variable 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- zmienna. Ten nowy termin w ję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softHyphen/>
        <w:t xml:space="preserve">zyku polskim tłumaczymy jako </w:t>
      </w:r>
      <w:r w:rsidRPr="00A43D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zmienna relacyjna.</w:t>
      </w:r>
      <w:r w:rsidRPr="00A43DB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Takie definiowanie tabeli w relacyjnej bazie danych ma na celu uświadomienie osobom poznającym teorie, że tabela spełnia wymogi matematyczne relacji, a jej zawartość (to co jest przechowywane wewnątrz tabe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softHyphen/>
        <w:t>li) może ulegać zmianom w określonym czasie.</w:t>
      </w:r>
    </w:p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większości opracowań dotyczących baz danych pojęcie </w:t>
      </w:r>
      <w:r w:rsidRPr="00A43DB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relacja </w:t>
      </w:r>
      <w:r w:rsidR="00773790">
        <w:rPr>
          <w:rFonts w:asciiTheme="majorHAnsi" w:eastAsia="Times New Roman" w:hAnsiTheme="majorHAnsi" w:cs="Times New Roman"/>
          <w:sz w:val="24"/>
          <w:szCs w:val="24"/>
          <w:lang w:eastAsia="pl-PL"/>
        </w:rPr>
        <w:t>odnosi się do tabeli w 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relacyjnej bazie danych. Problemem teorii baz danych jest stosowanie terminu relacja również do związków, które występują pomiędzy tabelami (np. relacja jeden do wielu). 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W</w:t>
      </w:r>
      <w:r w:rsidR="0077379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efekcie przyjęcia takiej nomenklatury, gdy chcemy powiedzieć,</w:t>
      </w:r>
      <w:r w:rsidR="007737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że pomiędzy tabelą A i 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tabelą B występuje związek „jeden do wielu”, mówimy, że pomiędzy relacją A a relacją B występuje relacja „jeden do wielu” (zupełnie tak, jakby oznaczało to istnienie trzeciej tabeli o nazwie „jeden do wielu”). Jak łatwo zauważyć, postępowanie takie doprowadza do zatarcia sensu wypowiedzi. 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 podręczniku </w:t>
      </w:r>
      <w:r w:rsidR="0077379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z wydawnictwa WSiP 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konsekwentnie używane </w:t>
      </w:r>
      <w:r w:rsidR="0077379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są 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syno</w:t>
      </w:r>
      <w:r w:rsidRPr="00A43DBD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softHyphen/>
        <w:t xml:space="preserve">nimy pojęcia relacja i tabela, a stosunki pomiędzy tabelami nazywane będą związkami, np. </w:t>
      </w:r>
      <w:r w:rsidRPr="00A43DBD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związkiem jeden do wi</w:t>
      </w:r>
      <w:r w:rsidR="00773790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pl-PL"/>
        </w:rPr>
        <w:t>elu, związkiem jeden do jednego, w innych podręcznikach jest to mieszane.</w:t>
      </w:r>
    </w:p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PRZYKŁAD</w:t>
      </w:r>
    </w:p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tbl>
      <w:tblPr>
        <w:tblW w:w="6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475A73" w:rsidRPr="00A43DBD" w:rsidTr="00475A73">
        <w:trPr>
          <w:tblCellSpacing w:w="0" w:type="dxa"/>
          <w:jc w:val="center"/>
        </w:trPr>
        <w:tc>
          <w:tcPr>
            <w:tcW w:w="0" w:type="auto"/>
            <w:hideMark/>
          </w:tcPr>
          <w:p w:rsidR="00475A73" w:rsidRPr="00A43DBD" w:rsidRDefault="00475A73" w:rsidP="0009281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3DB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Tabela 7.1. Lista reprezentantów Polski w piłce nożnej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1597"/>
              <w:gridCol w:w="1496"/>
              <w:gridCol w:w="975"/>
              <w:gridCol w:w="531"/>
              <w:gridCol w:w="1319"/>
            </w:tblGrid>
            <w:tr w:rsidR="00475A73" w:rsidRPr="00A43DBD" w:rsidTr="00B472BC">
              <w:trPr>
                <w:tblCellSpacing w:w="0" w:type="dxa"/>
                <w:jc w:val="center"/>
              </w:trPr>
              <w:tc>
                <w:tcPr>
                  <w:tcW w:w="408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162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Imię i nazwisko</w:t>
                  </w:r>
                </w:p>
              </w:tc>
              <w:tc>
                <w:tcPr>
                  <w:tcW w:w="168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Data urodzenia / Wiek</w:t>
                  </w:r>
                </w:p>
              </w:tc>
              <w:tc>
                <w:tcPr>
                  <w:tcW w:w="672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Występy</w:t>
                  </w:r>
                </w:p>
              </w:tc>
              <w:tc>
                <w:tcPr>
                  <w:tcW w:w="54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Gole</w:t>
                  </w:r>
                </w:p>
              </w:tc>
              <w:tc>
                <w:tcPr>
                  <w:tcW w:w="138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Klub</w:t>
                  </w:r>
                </w:p>
              </w:tc>
            </w:tr>
            <w:tr w:rsidR="00475A73" w:rsidRPr="00A43DBD" w:rsidTr="00B472BC">
              <w:trPr>
                <w:tblCellSpacing w:w="0" w:type="dxa"/>
                <w:jc w:val="center"/>
              </w:trPr>
              <w:tc>
                <w:tcPr>
                  <w:tcW w:w="408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62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Grzegorz Sandomierski</w:t>
                  </w:r>
                </w:p>
              </w:tc>
              <w:tc>
                <w:tcPr>
                  <w:tcW w:w="168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5 września 1989 / 22 lata</w:t>
                  </w:r>
                </w:p>
              </w:tc>
              <w:tc>
                <w:tcPr>
                  <w:tcW w:w="672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4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138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Jagiellonia Białystok</w:t>
                  </w:r>
                </w:p>
              </w:tc>
            </w:tr>
            <w:tr w:rsidR="00475A73" w:rsidRPr="00A43DBD" w:rsidTr="00B472BC">
              <w:trPr>
                <w:tblCellSpacing w:w="0" w:type="dxa"/>
                <w:jc w:val="center"/>
              </w:trPr>
              <w:tc>
                <w:tcPr>
                  <w:tcW w:w="408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62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Wojciech Szczęsny</w:t>
                  </w:r>
                </w:p>
              </w:tc>
              <w:tc>
                <w:tcPr>
                  <w:tcW w:w="168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18 kwietnia 1990 / 22 lata</w:t>
                  </w:r>
                </w:p>
              </w:tc>
              <w:tc>
                <w:tcPr>
                  <w:tcW w:w="672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54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138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Arsenał F.C.</w:t>
                  </w:r>
                </w:p>
              </w:tc>
            </w:tr>
            <w:tr w:rsidR="00475A73" w:rsidRPr="00A43DBD" w:rsidTr="00B472BC">
              <w:trPr>
                <w:tblCellSpacing w:w="0" w:type="dxa"/>
                <w:jc w:val="center"/>
              </w:trPr>
              <w:tc>
                <w:tcPr>
                  <w:tcW w:w="408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162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Przemysław Tytoń</w:t>
                  </w:r>
                </w:p>
              </w:tc>
              <w:tc>
                <w:tcPr>
                  <w:tcW w:w="168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4 stycznia 1987 / 25 lat</w:t>
                  </w:r>
                </w:p>
              </w:tc>
              <w:tc>
                <w:tcPr>
                  <w:tcW w:w="672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54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1380" w:type="dxa"/>
                  <w:hideMark/>
                </w:tcPr>
                <w:p w:rsidR="00475A73" w:rsidRPr="00A43DBD" w:rsidRDefault="00475A73" w:rsidP="0009281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pl-PL"/>
                    </w:rPr>
                  </w:pPr>
                  <w:r w:rsidRPr="00A43DB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pl-PL"/>
                    </w:rPr>
                    <w:t>PSY Eindhoven</w:t>
                  </w:r>
                </w:p>
              </w:tc>
            </w:tr>
          </w:tbl>
          <w:p w:rsidR="00475A73" w:rsidRPr="00A43DBD" w:rsidRDefault="00475A73" w:rsidP="0009281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475A73" w:rsidRPr="00A43DBD" w:rsidRDefault="00475A73" w:rsidP="0009281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Tabela przedstawia fragment składu reprezentacji Polski w piłce nożnej. W dniu 16.07.2012 r. odpowiadała rzeczywistości, jednak po pewnym czasie jej zawartość może ulec zmianie. Wystarczy, że któryś z zawodników strzeli gola, wtedy zawar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softHyphen/>
        <w:t xml:space="preserve">tość relacji ulegnie zmianie. Podobnie dane ulegną modyfikacji po podjęciu decyzji personalnej przez selekcjonera mającego wpływ na ostateczny skład reprezentacji Polski. W 2013 roku zmieni się również zawartość kolumny </w:t>
      </w:r>
      <w:r w:rsidRPr="00A43DB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Wiek 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(każdy z piłkarzy będzie o rok starszy).</w:t>
      </w:r>
    </w:p>
    <w:p w:rsidR="00475A73" w:rsidRPr="00A43DBD" w:rsidRDefault="00475A73" w:rsidP="000928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>Ponieważ zachowanie zawartości relacji przypom</w:t>
      </w:r>
      <w:r w:rsidR="00773790">
        <w:rPr>
          <w:rFonts w:asciiTheme="majorHAnsi" w:eastAsia="Times New Roman" w:hAnsiTheme="majorHAnsi" w:cs="Times New Roman"/>
          <w:sz w:val="24"/>
          <w:szCs w:val="24"/>
          <w:lang w:eastAsia="pl-PL"/>
        </w:rPr>
        <w:t>ina zawartość zmiennej znanej z </w:t>
      </w:r>
      <w:bookmarkStart w:id="0" w:name="_GoBack"/>
      <w:bookmarkEnd w:id="0"/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języków programowania (pole przechowuje pewną wartość określonego typu i może ulec zmianie), stąd pisząc </w:t>
      </w:r>
      <w:r w:rsidRPr="00A43DBD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o tabeli, której zawartość ulega zmianom, użyjemy pojęcia </w:t>
      </w:r>
      <w:r w:rsidRPr="00A43DB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zmienna relacyjna</w:t>
      </w:r>
      <w:r w:rsidRPr="00A43DB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</w:t>
      </w:r>
      <w:r w:rsidRPr="00A43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natomiast </w:t>
      </w:r>
      <w:r w:rsidRPr="00A43DBD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gdy mamy na myśli tabelę, której zawartość jest rozpatrywani w danej określonej chwili i nie ulega zmianie, będziemy mówić o </w:t>
      </w:r>
      <w:r w:rsidRPr="00A43DB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wartości relacyjnej </w:t>
      </w:r>
      <w:r w:rsidRPr="00A43DBD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lub w skrócie, </w:t>
      </w:r>
      <w:r w:rsidRPr="00A43DBD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relacji.</w:t>
      </w:r>
    </w:p>
    <w:p w:rsidR="006D72A2" w:rsidRPr="00A43DBD" w:rsidRDefault="00644F98" w:rsidP="0009281D">
      <w:pPr>
        <w:jc w:val="both"/>
        <w:rPr>
          <w:rFonts w:asciiTheme="majorHAnsi" w:hAnsiTheme="majorHAnsi" w:cs="Times New Roman"/>
        </w:rPr>
      </w:pPr>
    </w:p>
    <w:sectPr w:rsidR="006D72A2" w:rsidRPr="00A43DBD" w:rsidSect="000C46CB">
      <w:footerReference w:type="default" r:id="rId15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98" w:rsidRDefault="00644F98" w:rsidP="0009281D">
      <w:pPr>
        <w:spacing w:after="0" w:line="240" w:lineRule="auto"/>
      </w:pPr>
      <w:r>
        <w:separator/>
      </w:r>
    </w:p>
  </w:endnote>
  <w:endnote w:type="continuationSeparator" w:id="0">
    <w:p w:rsidR="00644F98" w:rsidRDefault="00644F98" w:rsidP="0009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14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43DBD" w:rsidRDefault="00A43D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6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6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281D" w:rsidRDefault="00092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98" w:rsidRDefault="00644F98" w:rsidP="0009281D">
      <w:pPr>
        <w:spacing w:after="0" w:line="240" w:lineRule="auto"/>
      </w:pPr>
      <w:r>
        <w:separator/>
      </w:r>
    </w:p>
  </w:footnote>
  <w:footnote w:type="continuationSeparator" w:id="0">
    <w:p w:rsidR="00644F98" w:rsidRDefault="00644F98" w:rsidP="0009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168"/>
    <w:multiLevelType w:val="multilevel"/>
    <w:tmpl w:val="E81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51AF"/>
    <w:multiLevelType w:val="multilevel"/>
    <w:tmpl w:val="D4B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4502A"/>
    <w:multiLevelType w:val="multilevel"/>
    <w:tmpl w:val="30A4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26668"/>
    <w:multiLevelType w:val="multilevel"/>
    <w:tmpl w:val="E56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A7AA2"/>
    <w:multiLevelType w:val="multilevel"/>
    <w:tmpl w:val="BD4E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D4A88"/>
    <w:multiLevelType w:val="multilevel"/>
    <w:tmpl w:val="EC48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4443B"/>
    <w:multiLevelType w:val="multilevel"/>
    <w:tmpl w:val="BA6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B3B60"/>
    <w:multiLevelType w:val="multilevel"/>
    <w:tmpl w:val="0C0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F1431"/>
    <w:multiLevelType w:val="multilevel"/>
    <w:tmpl w:val="B66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779AC"/>
    <w:multiLevelType w:val="multilevel"/>
    <w:tmpl w:val="26DC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04523"/>
    <w:multiLevelType w:val="multilevel"/>
    <w:tmpl w:val="301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A53A5"/>
    <w:multiLevelType w:val="multilevel"/>
    <w:tmpl w:val="5100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8"/>
    <w:rsid w:val="0009281D"/>
    <w:rsid w:val="000C46CB"/>
    <w:rsid w:val="000D0AF0"/>
    <w:rsid w:val="00161CCA"/>
    <w:rsid w:val="003332EE"/>
    <w:rsid w:val="003B772D"/>
    <w:rsid w:val="003C6C31"/>
    <w:rsid w:val="003D78A8"/>
    <w:rsid w:val="00475A73"/>
    <w:rsid w:val="00486A00"/>
    <w:rsid w:val="005E1028"/>
    <w:rsid w:val="00644F98"/>
    <w:rsid w:val="006D2789"/>
    <w:rsid w:val="00705105"/>
    <w:rsid w:val="00773790"/>
    <w:rsid w:val="008779BE"/>
    <w:rsid w:val="008C089F"/>
    <w:rsid w:val="00A43DBD"/>
    <w:rsid w:val="00B25898"/>
    <w:rsid w:val="00B472BC"/>
    <w:rsid w:val="00DE6661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746E"/>
  <w15:docId w15:val="{FE1C0B96-F409-4588-8937-FA1E38F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1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0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p">
    <w:name w:val="sep"/>
    <w:basedOn w:val="Domylnaczcionkaakapitu"/>
    <w:rsid w:val="005E1028"/>
  </w:style>
  <w:style w:type="character" w:styleId="Hipercze">
    <w:name w:val="Hyperlink"/>
    <w:basedOn w:val="Domylnaczcionkaakapitu"/>
    <w:uiPriority w:val="99"/>
    <w:unhideWhenUsed/>
    <w:rsid w:val="005E1028"/>
    <w:rPr>
      <w:color w:val="0000FF"/>
      <w:u w:val="single"/>
    </w:rPr>
  </w:style>
  <w:style w:type="character" w:customStyle="1" w:styleId="by-author">
    <w:name w:val="by-author"/>
    <w:basedOn w:val="Domylnaczcionkaakapitu"/>
    <w:rsid w:val="005E1028"/>
  </w:style>
  <w:style w:type="character" w:customStyle="1" w:styleId="author">
    <w:name w:val="author"/>
    <w:basedOn w:val="Domylnaczcionkaakapitu"/>
    <w:rsid w:val="005E1028"/>
  </w:style>
  <w:style w:type="paragraph" w:styleId="NormalnyWeb">
    <w:name w:val="Normal (Web)"/>
    <w:basedOn w:val="Normalny"/>
    <w:uiPriority w:val="99"/>
    <w:unhideWhenUsed/>
    <w:rsid w:val="005E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028"/>
    <w:rPr>
      <w:b/>
      <w:bCs/>
    </w:rPr>
  </w:style>
  <w:style w:type="character" w:styleId="Uwydatnienie">
    <w:name w:val="Emphasis"/>
    <w:basedOn w:val="Domylnaczcionkaakapitu"/>
    <w:uiPriority w:val="20"/>
    <w:qFormat/>
    <w:rsid w:val="005E102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2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81D"/>
  </w:style>
  <w:style w:type="paragraph" w:styleId="Stopka">
    <w:name w:val="footer"/>
    <w:basedOn w:val="Normalny"/>
    <w:link w:val="StopkaZnak"/>
    <w:uiPriority w:val="99"/>
    <w:unhideWhenUsed/>
    <w:rsid w:val="00092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81D"/>
  </w:style>
  <w:style w:type="character" w:customStyle="1" w:styleId="Nagwek2Znak">
    <w:name w:val="Nagłówek 2 Znak"/>
    <w:basedOn w:val="Domylnaczcionkaakapitu"/>
    <w:link w:val="Nagwek2"/>
    <w:uiPriority w:val="9"/>
    <w:rsid w:val="003B7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Domylnaczcionkaakapitu"/>
    <w:rsid w:val="003B772D"/>
  </w:style>
  <w:style w:type="paragraph" w:customStyle="1" w:styleId="short-text">
    <w:name w:val="short-text"/>
    <w:basedOn w:val="Normalny"/>
    <w:rsid w:val="003B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72D"/>
    <w:rPr>
      <w:vertAlign w:val="superscript"/>
    </w:rPr>
  </w:style>
  <w:style w:type="character" w:customStyle="1" w:styleId="mw-headline">
    <w:name w:val="mw-headline"/>
    <w:basedOn w:val="Domylnaczcionkaakapitu"/>
    <w:rsid w:val="003332E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8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natowy">
    <w:name w:val="granatowy"/>
    <w:basedOn w:val="Domylnaczcionkaakapitu"/>
    <w:rsid w:val="008C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tzbaszynek.pl/wp-content/uploads/2013/10/kartezja%C5%84ski.jp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stzbaszynek.pl/wp-content/uploads/2013/10/zbior-C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stzbaszynek.pl/wp-content/uploads/2013/10/zbior-A-i-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zstzbaszynek.pl/wp-content/uploads/2013/10/zbior-C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8D80-0638-4159-8A73-27EDB92F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6</cp:revision>
  <cp:lastPrinted>2019-09-30T11:28:00Z</cp:lastPrinted>
  <dcterms:created xsi:type="dcterms:W3CDTF">2019-09-30T11:22:00Z</dcterms:created>
  <dcterms:modified xsi:type="dcterms:W3CDTF">2019-09-30T11:29:00Z</dcterms:modified>
</cp:coreProperties>
</file>